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B8E1" w14:textId="7562F512" w:rsidR="003D4EC9" w:rsidRPr="003D4EC9" w:rsidRDefault="003D4EC9" w:rsidP="003D4EC9">
      <w:pPr>
        <w:spacing w:after="102" w:line="559" w:lineRule="atLeast"/>
        <w:outlineLvl w:val="0"/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</w:pPr>
      <w:r w:rsidRPr="003D4EC9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>Victorian</w:t>
      </w:r>
      <w:r w:rsidR="006835C1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 xml:space="preserve"> </w:t>
      </w:r>
      <w:r w:rsidR="006835C1" w:rsidRPr="003D4EC9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>Inquiry</w:t>
      </w:r>
      <w:r w:rsidRPr="003D4EC9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 xml:space="preserve"> </w:t>
      </w:r>
      <w:r w:rsidR="006835C1" w:rsidRPr="003D4EC9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 xml:space="preserve">into the </w:t>
      </w:r>
      <w:r w:rsidR="006835C1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>O</w:t>
      </w:r>
      <w:r w:rsidRPr="003D4EC9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>n</w:t>
      </w:r>
      <w:r w:rsidR="006835C1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 xml:space="preserve"> D</w:t>
      </w:r>
      <w:r w:rsidRPr="003D4EC9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 xml:space="preserve">emand </w:t>
      </w:r>
      <w:r w:rsidR="006835C1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>W</w:t>
      </w:r>
      <w:bookmarkStart w:id="0" w:name="_GoBack"/>
      <w:bookmarkEnd w:id="0"/>
      <w:r w:rsidRPr="003D4EC9">
        <w:rPr>
          <w:rFonts w:ascii="VIC-SemiBold" w:eastAsia="Times New Roman" w:hAnsi="VIC-SemiBold" w:cs="Times New Roman"/>
          <w:color w:val="004EA8"/>
          <w:kern w:val="36"/>
          <w:sz w:val="51"/>
          <w:szCs w:val="51"/>
          <w:lang w:eastAsia="en-AU"/>
        </w:rPr>
        <w:t>orkforce</w:t>
      </w:r>
    </w:p>
    <w:p w14:paraId="08329CC2" w14:textId="77777777" w:rsidR="003D4EC9" w:rsidRPr="003D4EC9" w:rsidRDefault="003D4EC9" w:rsidP="003D4EC9">
      <w:pPr>
        <w:spacing w:before="100" w:beforeAutospacing="1" w:after="100" w:afterAutospacing="1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Victorian Government has announced an inquiry into the on-demand workforce. The inquiry, chaired by former Federal Fair Work Ombudsman, Natalie James, will investigate the extent of the on-demand sector and the status of people working with or for on-line companies or platforms in Victoria.</w:t>
      </w:r>
    </w:p>
    <w:p w14:paraId="18B46C43" w14:textId="77777777" w:rsidR="003D4EC9" w:rsidRPr="003D4EC9" w:rsidRDefault="003D4EC9" w:rsidP="003D4EC9">
      <w:pPr>
        <w:spacing w:before="100" w:beforeAutospacing="1" w:after="100" w:afterAutospacing="1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establishment of the inquiry follows widespread concern about the wages and conditions being offered to workers in the on-demand and gig economy. </w:t>
      </w:r>
    </w:p>
    <w:p w14:paraId="5CA9F924" w14:textId="77777777" w:rsidR="003D4EC9" w:rsidRPr="003D4EC9" w:rsidRDefault="003D4EC9" w:rsidP="003D4EC9">
      <w:pPr>
        <w:spacing w:before="100" w:beforeAutospacing="1" w:after="100" w:afterAutospacing="1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inquiry will examine allegations and determinations concerning contracting arrangements and whether these arrangements are being used to avoid workplace laws and other statutory obligations in Victoria.</w:t>
      </w:r>
    </w:p>
    <w:p w14:paraId="7FC7B9C2" w14:textId="77777777" w:rsidR="003D4EC9" w:rsidRPr="003D4EC9" w:rsidRDefault="003D4EC9" w:rsidP="003D4EC9">
      <w:pPr>
        <w:spacing w:before="100" w:beforeAutospacing="1" w:after="100" w:afterAutospacing="1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inquiry will consider and report to the Minister for Industrial Relations in 2019.</w:t>
      </w:r>
    </w:p>
    <w:p w14:paraId="2C2E45F5" w14:textId="77777777" w:rsidR="003D4EC9" w:rsidRPr="003D4EC9" w:rsidRDefault="003D4EC9" w:rsidP="003D4EC9">
      <w:pPr>
        <w:spacing w:before="392" w:after="78" w:line="431" w:lineRule="atLeast"/>
        <w:outlineLvl w:val="1"/>
        <w:rPr>
          <w:rFonts w:ascii="&amp;quot" w:eastAsia="Times New Roman" w:hAnsi="&amp;quot" w:cs="Times New Roman"/>
          <w:color w:val="201547"/>
          <w:sz w:val="39"/>
          <w:szCs w:val="39"/>
          <w:lang w:eastAsia="en-AU"/>
        </w:rPr>
      </w:pPr>
      <w:r w:rsidRPr="003D4EC9">
        <w:rPr>
          <w:rFonts w:ascii="&amp;quot" w:eastAsia="Times New Roman" w:hAnsi="&amp;quot" w:cs="Times New Roman"/>
          <w:b/>
          <w:bCs/>
          <w:color w:val="201547"/>
          <w:sz w:val="39"/>
          <w:szCs w:val="39"/>
          <w:lang w:eastAsia="en-AU"/>
        </w:rPr>
        <w:t>Terms of reference for the inquiry</w:t>
      </w:r>
    </w:p>
    <w:p w14:paraId="063E92DC" w14:textId="77777777" w:rsidR="003D4EC9" w:rsidRPr="003D4EC9" w:rsidRDefault="003D4EC9" w:rsidP="003D4EC9">
      <w:pPr>
        <w:spacing w:before="100" w:beforeAutospacing="1" w:after="100" w:afterAutospacing="1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To inquire into, consider and report to the Minister for Industrial Relations on:</w:t>
      </w:r>
    </w:p>
    <w:p w14:paraId="2994C702" w14:textId="77777777" w:rsidR="003D4EC9" w:rsidRPr="003D4EC9" w:rsidRDefault="003D4EC9" w:rsidP="003D4EC9">
      <w:pPr>
        <w:numPr>
          <w:ilvl w:val="0"/>
          <w:numId w:val="8"/>
        </w:numPr>
        <w:spacing w:before="100" w:beforeAutospacing="1" w:after="162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 xml:space="preserve">The extent and nature of the on-demand economy in Victoria, for the purposes of considering its impact on both the Victorian labour market and Victorian economy more broadly, including but not limited to: </w:t>
      </w:r>
    </w:p>
    <w:p w14:paraId="4BA35D56" w14:textId="77777777" w:rsidR="003D4EC9" w:rsidRPr="003D4EC9" w:rsidRDefault="003D4EC9" w:rsidP="003D4EC9">
      <w:pPr>
        <w:numPr>
          <w:ilvl w:val="1"/>
          <w:numId w:val="9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legal or work status of persons working for, or with, businesses using on-line platforms;</w:t>
      </w:r>
    </w:p>
    <w:p w14:paraId="55407C44" w14:textId="77777777" w:rsidR="003D4EC9" w:rsidRPr="003D4EC9" w:rsidRDefault="003D4EC9" w:rsidP="003D4EC9">
      <w:pPr>
        <w:numPr>
          <w:ilvl w:val="1"/>
          <w:numId w:val="9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lastRenderedPageBreak/>
        <w:t>the application of workplace laws and instruments to those persons, including accident compensation, payroll or similar taxes, superannuation and health and safety laws;</w:t>
      </w:r>
    </w:p>
    <w:p w14:paraId="25EC163F" w14:textId="77777777" w:rsidR="003D4EC9" w:rsidRPr="003D4EC9" w:rsidRDefault="003D4EC9" w:rsidP="003D4EC9">
      <w:pPr>
        <w:numPr>
          <w:ilvl w:val="1"/>
          <w:numId w:val="9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whether contracting or other arrangements are being used to avoid the application of workplace laws and other statutory obligations;</w:t>
      </w:r>
    </w:p>
    <w:p w14:paraId="6D1E24AF" w14:textId="77777777" w:rsidR="003D4EC9" w:rsidRPr="003D4EC9" w:rsidRDefault="003D4EC9" w:rsidP="003D4EC9">
      <w:pPr>
        <w:numPr>
          <w:ilvl w:val="1"/>
          <w:numId w:val="9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effectiveness of the enforcement of those laws.</w:t>
      </w:r>
    </w:p>
    <w:p w14:paraId="38723773" w14:textId="77777777" w:rsidR="003D4EC9" w:rsidRPr="003D4EC9" w:rsidRDefault="003D4EC9" w:rsidP="003D4EC9">
      <w:pPr>
        <w:numPr>
          <w:ilvl w:val="0"/>
          <w:numId w:val="9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 xml:space="preserve">In making recommendations, the Inquiry should have regard to matters including: </w:t>
      </w:r>
    </w:p>
    <w:p w14:paraId="10C60395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72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capacity of existing legal and regulatory frameworks to protect the rights of vulnerable workers;</w:t>
      </w:r>
    </w:p>
    <w:p w14:paraId="17842593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 xml:space="preserve">the impact on the health and safety of third parties such as consumers and the </w:t>
      </w:r>
      <w:proofErr w:type="gramStart"/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general public</w:t>
      </w:r>
      <w:proofErr w:type="gramEnd"/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, for example, road safety;</w:t>
      </w:r>
    </w:p>
    <w:p w14:paraId="43A245F4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responsibility for insurance coverage and implications for state revenue</w:t>
      </w:r>
    </w:p>
    <w:p w14:paraId="43627B68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impacts of on-demand services on businesses operating in metropolitan, regional or rural settings.</w:t>
      </w:r>
    </w:p>
    <w:p w14:paraId="34250F7C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regulation in other Australian jurisdictions and in other countries, including how other jurisdictions regulate the on-demand workforce;</w:t>
      </w:r>
    </w:p>
    <w:p w14:paraId="0CCFE590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Australia's obligations under international law, including International Labour Organisation Conventions; and</w:t>
      </w:r>
    </w:p>
    <w:p w14:paraId="1EA66CCD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limitations of Victoria's legislative powers over industrial relations and related matters and the capacity to regulate these matters; and</w:t>
      </w:r>
    </w:p>
    <w:p w14:paraId="71A8C3BE" w14:textId="77777777" w:rsidR="003D4EC9" w:rsidRPr="003D4EC9" w:rsidRDefault="003D4EC9" w:rsidP="003D4EC9">
      <w:pPr>
        <w:numPr>
          <w:ilvl w:val="1"/>
          <w:numId w:val="10"/>
        </w:numPr>
        <w:spacing w:before="100" w:beforeAutospacing="1" w:after="162" w:line="405" w:lineRule="atLeast"/>
        <w:ind w:left="1440" w:hanging="360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the ability of any Victorian regulatory arrangements to operate effectively in the absence of a national approach.</w:t>
      </w:r>
    </w:p>
    <w:p w14:paraId="726A56F7" w14:textId="77777777" w:rsidR="003D4EC9" w:rsidRPr="003D4EC9" w:rsidRDefault="003D4EC9" w:rsidP="003D4EC9">
      <w:pPr>
        <w:spacing w:before="100" w:beforeAutospacing="1" w:after="100" w:afterAutospacing="1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lastRenderedPageBreak/>
        <w:t>The inquiry is expected to deliver a final report to the Government in 2019 and will be seeking public submissions, worker and business input. The closing date for making a submission is 6 February 2019.</w:t>
      </w:r>
    </w:p>
    <w:p w14:paraId="7497472D" w14:textId="77777777" w:rsidR="003D4EC9" w:rsidRPr="003D4EC9" w:rsidRDefault="003D4EC9" w:rsidP="003D4EC9">
      <w:pPr>
        <w:spacing w:before="100" w:beforeAutospacing="1" w:after="100" w:afterAutospacing="1" w:line="405" w:lineRule="atLeast"/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</w:pPr>
      <w:r w:rsidRPr="003D4EC9">
        <w:rPr>
          <w:rFonts w:ascii="&amp;quot" w:eastAsia="Times New Roman" w:hAnsi="&amp;quot" w:cs="Times New Roman"/>
          <w:color w:val="53565A"/>
          <w:sz w:val="27"/>
          <w:szCs w:val="27"/>
          <w:lang w:eastAsia="en-AU"/>
        </w:rPr>
        <w:t>Further information about the inquiry, including how to make a submission, will be published here shortly.</w:t>
      </w:r>
    </w:p>
    <w:p w14:paraId="31A7FF49" w14:textId="16878E20" w:rsidR="00703BA6" w:rsidRPr="00666AFF" w:rsidRDefault="00F8349C" w:rsidP="00666AFF">
      <w:r w:rsidRPr="00666AFF">
        <w:t xml:space="preserve"> </w:t>
      </w:r>
    </w:p>
    <w:sectPr w:rsidR="00703BA6" w:rsidRPr="00666AFF" w:rsidSect="00266815">
      <w:headerReference w:type="default" r:id="rId7"/>
      <w:footerReference w:type="default" r:id="rId8"/>
      <w:pgSz w:w="11906" w:h="16838"/>
      <w:pgMar w:top="1440" w:right="1440" w:bottom="1702" w:left="1440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71B5" w14:textId="77777777" w:rsidR="00B44DD6" w:rsidRDefault="00B44DD6" w:rsidP="00BB2B2D">
      <w:pPr>
        <w:spacing w:after="0" w:line="240" w:lineRule="auto"/>
      </w:pPr>
      <w:r>
        <w:separator/>
      </w:r>
    </w:p>
  </w:endnote>
  <w:endnote w:type="continuationSeparator" w:id="0">
    <w:p w14:paraId="20748FD5" w14:textId="77777777" w:rsidR="00B44DD6" w:rsidRDefault="00B44DD6" w:rsidP="00BB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C-SemiBold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C264" w14:textId="77777777" w:rsidR="00B04A54" w:rsidRPr="00241E7E" w:rsidRDefault="00241E7E" w:rsidP="00241E7E">
    <w:pPr>
      <w:spacing w:line="240" w:lineRule="auto"/>
      <w:jc w:val="center"/>
      <w:rPr>
        <w:rFonts w:asciiTheme="majorHAnsi" w:hAnsiTheme="majorHAnsi"/>
        <w:sz w:val="18"/>
        <w:szCs w:val="18"/>
      </w:rPr>
    </w:pPr>
    <w:r w:rsidRPr="00266815">
      <w:rPr>
        <w:rFonts w:asciiTheme="majorHAnsi" w:hAnsiTheme="majorHAnsi"/>
        <w:color w:val="002060"/>
        <w:sz w:val="18"/>
        <w:szCs w:val="18"/>
      </w:rPr>
      <w:t>The Association of Professional Staffing Companies Australia</w:t>
    </w:r>
    <w:r w:rsidR="00266815">
      <w:rPr>
        <w:rFonts w:asciiTheme="majorHAnsi" w:hAnsiTheme="majorHAnsi"/>
        <w:color w:val="002060"/>
        <w:sz w:val="18"/>
        <w:szCs w:val="18"/>
      </w:rPr>
      <w:t xml:space="preserve"> Ltd. Registered in </w:t>
    </w:r>
    <w:proofErr w:type="gramStart"/>
    <w:r w:rsidR="00266815">
      <w:rPr>
        <w:rFonts w:asciiTheme="majorHAnsi" w:hAnsiTheme="majorHAnsi"/>
        <w:color w:val="002060"/>
        <w:sz w:val="18"/>
        <w:szCs w:val="18"/>
      </w:rPr>
      <w:t>Australia</w:t>
    </w:r>
    <w:r w:rsidRPr="00266815">
      <w:rPr>
        <w:rFonts w:asciiTheme="majorHAnsi" w:hAnsiTheme="majorHAnsi"/>
        <w:color w:val="002060"/>
        <w:sz w:val="18"/>
        <w:szCs w:val="18"/>
      </w:rPr>
      <w:t xml:space="preserve">  </w:t>
    </w:r>
    <w:r w:rsidRPr="00266815">
      <w:rPr>
        <w:rFonts w:asciiTheme="majorHAnsi" w:hAnsiTheme="majorHAnsi" w:cs="Arial"/>
        <w:color w:val="002060"/>
        <w:sz w:val="18"/>
        <w:szCs w:val="18"/>
        <w:shd w:val="clear" w:color="auto" w:fill="FFFFFF"/>
      </w:rPr>
      <w:t>ACN</w:t>
    </w:r>
    <w:proofErr w:type="gramEnd"/>
    <w:r w:rsidRPr="00266815">
      <w:rPr>
        <w:rFonts w:asciiTheme="majorHAnsi" w:hAnsiTheme="majorHAnsi" w:cs="Arial"/>
        <w:color w:val="002060"/>
        <w:sz w:val="18"/>
        <w:szCs w:val="18"/>
        <w:shd w:val="clear" w:color="auto" w:fill="FFFFFF"/>
      </w:rPr>
      <w:t>: 143 665 025</w:t>
    </w:r>
    <w:r w:rsidRPr="00266815">
      <w:rPr>
        <w:rFonts w:asciiTheme="majorHAnsi" w:hAnsiTheme="majorHAnsi"/>
        <w:color w:val="002060"/>
        <w:sz w:val="18"/>
        <w:szCs w:val="18"/>
      </w:rPr>
      <w:br/>
    </w:r>
    <w:r w:rsidRPr="00266815">
      <w:rPr>
        <w:rFonts w:asciiTheme="majorHAnsi" w:hAnsiTheme="majorHAnsi" w:cs="Arial"/>
        <w:color w:val="002060"/>
        <w:sz w:val="18"/>
        <w:szCs w:val="18"/>
        <w:shd w:val="clear" w:color="auto" w:fill="FFFFFF"/>
      </w:rPr>
      <w:t>Office Location: Suite 1022, Level 10, Tower 4, World Trade Centre, 611 Flinders St, Melbourne 3005</w:t>
    </w:r>
    <w:r w:rsidRPr="00266815">
      <w:rPr>
        <w:rFonts w:asciiTheme="majorHAnsi" w:hAnsiTheme="majorHAnsi" w:cs="Arial"/>
        <w:color w:val="002060"/>
        <w:sz w:val="18"/>
        <w:szCs w:val="18"/>
      </w:rPr>
      <w:br/>
    </w:r>
    <w:r w:rsidRPr="00266815">
      <w:rPr>
        <w:rFonts w:asciiTheme="majorHAnsi" w:hAnsiTheme="majorHAnsi" w:cs="Arial"/>
        <w:color w:val="002060"/>
        <w:sz w:val="18"/>
        <w:szCs w:val="18"/>
        <w:shd w:val="clear" w:color="auto" w:fill="FFFFFF"/>
      </w:rPr>
      <w:t>Phone: +61 3 8622 4700</w:t>
    </w:r>
    <w:r w:rsidRPr="00266815">
      <w:rPr>
        <w:rFonts w:asciiTheme="majorHAnsi" w:hAnsiTheme="majorHAnsi" w:cs="Arial"/>
        <w:color w:val="002060"/>
        <w:sz w:val="18"/>
        <w:szCs w:val="18"/>
      </w:rPr>
      <w:t xml:space="preserve">    </w:t>
    </w:r>
    <w:r w:rsidRPr="00266815">
      <w:rPr>
        <w:rFonts w:asciiTheme="majorHAnsi" w:hAnsiTheme="majorHAnsi" w:cs="Arial"/>
        <w:color w:val="002060"/>
        <w:sz w:val="18"/>
        <w:szCs w:val="18"/>
        <w:shd w:val="clear" w:color="auto" w:fill="FFFFFF"/>
      </w:rPr>
      <w:t>Fax: +61 3 9600 1950   Web: www.apscoau.org</w:t>
    </w:r>
    <w:r w:rsidRPr="00241E7E">
      <w:rPr>
        <w:rFonts w:asciiTheme="majorHAnsi" w:hAnsiTheme="majorHAnsi" w:cs="Arial"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60C8" w14:textId="77777777" w:rsidR="00B44DD6" w:rsidRDefault="00B44DD6" w:rsidP="00BB2B2D">
      <w:pPr>
        <w:spacing w:after="0" w:line="240" w:lineRule="auto"/>
      </w:pPr>
      <w:r>
        <w:separator/>
      </w:r>
    </w:p>
  </w:footnote>
  <w:footnote w:type="continuationSeparator" w:id="0">
    <w:p w14:paraId="239D82C7" w14:textId="77777777" w:rsidR="00B44DD6" w:rsidRDefault="00B44DD6" w:rsidP="00BB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030E" w14:textId="77777777" w:rsidR="00650B38" w:rsidRDefault="00650B38">
    <w:pPr>
      <w:pStyle w:val="Header"/>
    </w:pPr>
  </w:p>
  <w:p w14:paraId="644FDE04" w14:textId="77777777" w:rsidR="00B04A54" w:rsidRDefault="00266815" w:rsidP="00650B38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18830" wp14:editId="0862645F">
              <wp:simplePos x="0" y="0"/>
              <wp:positionH relativeFrom="page">
                <wp:align>left</wp:align>
              </wp:positionH>
              <wp:positionV relativeFrom="paragraph">
                <wp:posOffset>641985</wp:posOffset>
              </wp:positionV>
              <wp:extent cx="7750629" cy="0"/>
              <wp:effectExtent l="0" t="19050" r="688975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062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6600"/>
                        </a:solidFill>
                      </a:ln>
                      <a:effectLst>
                        <a:outerShdw blurRad="25400" dist="25400" dir="2700000" sx="108000" sy="108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FDD99D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0.55pt" to="610.3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" strokecolor="#f60">
              <v:stroke joinstyle="miter"/>
              <v:shadow on="t" type="perspective" color="black" opacity="26214f" origin="-.5,-.5" offset=".49892mm,.49892mm" matrix="70779f,,,70779f"/>
              <w10:wrap anchorx="page"/>
            </v:line>
          </w:pict>
        </mc:Fallback>
      </mc:AlternateContent>
    </w:r>
    <w:r w:rsidR="00650B38">
      <w:rPr>
        <w:noProof/>
        <w:lang w:eastAsia="en-AU"/>
      </w:rPr>
      <w:drawing>
        <wp:inline distT="0" distB="0" distL="0" distR="0" wp14:anchorId="41B13633" wp14:editId="46792A61">
          <wp:extent cx="1401852" cy="476250"/>
          <wp:effectExtent l="0" t="0" r="825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SCoAustraliaLogo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16" cy="48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5268E" w14:textId="77777777" w:rsidR="00650B38" w:rsidRDefault="00650B38" w:rsidP="00650B38">
    <w:pPr>
      <w:pStyle w:val="Header"/>
      <w:jc w:val="right"/>
    </w:pPr>
  </w:p>
  <w:p w14:paraId="4BA50408" w14:textId="77777777" w:rsidR="00B04A54" w:rsidRPr="00266815" w:rsidRDefault="00B04A54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642"/>
    <w:multiLevelType w:val="hybridMultilevel"/>
    <w:tmpl w:val="646A9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66A"/>
    <w:multiLevelType w:val="hybridMultilevel"/>
    <w:tmpl w:val="73AC25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C3A"/>
    <w:multiLevelType w:val="hybridMultilevel"/>
    <w:tmpl w:val="DA4E6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5259"/>
    <w:multiLevelType w:val="multilevel"/>
    <w:tmpl w:val="DEA4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B32BF"/>
    <w:multiLevelType w:val="hybridMultilevel"/>
    <w:tmpl w:val="F912D8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93829"/>
    <w:multiLevelType w:val="hybridMultilevel"/>
    <w:tmpl w:val="B588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0795"/>
    <w:multiLevelType w:val="hybridMultilevel"/>
    <w:tmpl w:val="391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6E91"/>
    <w:multiLevelType w:val="hybridMultilevel"/>
    <w:tmpl w:val="14B02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lvl w:ilvl="0">
        <w:numFmt w:val="lowerLetter"/>
        <w:lvlText w:val="%1."/>
        <w:lvlJc w:val="left"/>
      </w:lvl>
    </w:lvlOverride>
  </w:num>
  <w:num w:numId="9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D"/>
    <w:rsid w:val="00091FF5"/>
    <w:rsid w:val="000B7275"/>
    <w:rsid w:val="001146B9"/>
    <w:rsid w:val="00154FE7"/>
    <w:rsid w:val="001B26C1"/>
    <w:rsid w:val="001F7C51"/>
    <w:rsid w:val="00241E7E"/>
    <w:rsid w:val="00266815"/>
    <w:rsid w:val="003D4242"/>
    <w:rsid w:val="003D4EC9"/>
    <w:rsid w:val="0047469D"/>
    <w:rsid w:val="00650B38"/>
    <w:rsid w:val="00666AFF"/>
    <w:rsid w:val="006835C1"/>
    <w:rsid w:val="00703BA6"/>
    <w:rsid w:val="00736538"/>
    <w:rsid w:val="009A33EF"/>
    <w:rsid w:val="00AE446D"/>
    <w:rsid w:val="00B04A54"/>
    <w:rsid w:val="00B44DD6"/>
    <w:rsid w:val="00BB2B2D"/>
    <w:rsid w:val="00BF0BC7"/>
    <w:rsid w:val="00C115AD"/>
    <w:rsid w:val="00F15CAF"/>
    <w:rsid w:val="00F72027"/>
    <w:rsid w:val="00F8349C"/>
    <w:rsid w:val="00F8568F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E923C"/>
  <w15:chartTrackingRefBased/>
  <w15:docId w15:val="{B1506071-EFC4-492F-92BD-94D8F5D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D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B2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2B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2D"/>
  </w:style>
  <w:style w:type="paragraph" w:styleId="Footer">
    <w:name w:val="footer"/>
    <w:basedOn w:val="Normal"/>
    <w:link w:val="FooterChar"/>
    <w:uiPriority w:val="99"/>
    <w:unhideWhenUsed/>
    <w:rsid w:val="00BB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D"/>
  </w:style>
  <w:style w:type="paragraph" w:customStyle="1" w:styleId="APSCo">
    <w:name w:val="APSCo"/>
    <w:basedOn w:val="Normal"/>
    <w:link w:val="APSCoChar"/>
    <w:qFormat/>
    <w:rsid w:val="00266815"/>
    <w:rPr>
      <w:rFonts w:ascii="Arial" w:hAnsi="Arial"/>
      <w:sz w:val="24"/>
    </w:rPr>
  </w:style>
  <w:style w:type="character" w:customStyle="1" w:styleId="APSCoChar">
    <w:name w:val="APSCo Char"/>
    <w:basedOn w:val="DefaultParagraphFont"/>
    <w:link w:val="APSCo"/>
    <w:rsid w:val="0026681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F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F0BC7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0BC7"/>
    <w:rPr>
      <w:rFonts w:ascii="Consolas" w:hAnsi="Consolas"/>
      <w:sz w:val="21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BA6"/>
    <w:rPr>
      <w:color w:val="808080"/>
      <w:shd w:val="clear" w:color="auto" w:fill="E6E6E6"/>
    </w:rPr>
  </w:style>
  <w:style w:type="paragraph" w:customStyle="1" w:styleId="Default">
    <w:name w:val="Default"/>
    <w:rsid w:val="00FC0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4EC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D4EC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Jensen</dc:creator>
  <cp:keywords/>
  <dc:description/>
  <cp:lastModifiedBy>Kara</cp:lastModifiedBy>
  <cp:revision>3</cp:revision>
  <dcterms:created xsi:type="dcterms:W3CDTF">2018-11-01T08:54:00Z</dcterms:created>
  <dcterms:modified xsi:type="dcterms:W3CDTF">2018-11-01T22:02:00Z</dcterms:modified>
</cp:coreProperties>
</file>